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nsPlusNormal"/>
        <w:numPr>
          <w:ilvl w:val="0"/>
          <w:numId w:val="0"/>
        </w:numPr>
        <w:ind w:left="0" w:hanging="0"/>
        <w:jc w:val="center"/>
        <w:outlineLvl w:val="0"/>
        <w:rPr/>
      </w:pPr>
      <w:r>
        <w:rPr>
          <w:b/>
        </w:rPr>
        <w:t>АДМИНИСТРАЦИЯ ГОРОДА ЧЕЛЯБИНСКА</w:t>
      </w:r>
    </w:p>
    <w:p>
      <w:pPr>
        <w:pStyle w:val="ConsPlusNormal"/>
        <w:ind w:left="0" w:firstLine="540"/>
        <w:jc w:val="both"/>
        <w:rPr>
          <w:b/>
          <w:b/>
        </w:rPr>
      </w:pPr>
      <w:r>
        <w:rPr>
          <w:b/>
        </w:rPr>
      </w:r>
    </w:p>
    <w:p>
      <w:pPr>
        <w:pStyle w:val="ConsPlusNormal"/>
        <w:ind w:left="0" w:hanging="0"/>
        <w:jc w:val="center"/>
        <w:rPr/>
      </w:pPr>
      <w:r>
        <w:rPr>
          <w:b/>
        </w:rPr>
        <w:t>ПОСТАНОВЛЕНИЕ</w:t>
      </w:r>
    </w:p>
    <w:p>
      <w:pPr>
        <w:pStyle w:val="ConsPlusNormal"/>
        <w:ind w:left="0" w:hanging="0"/>
        <w:jc w:val="center"/>
        <w:rPr/>
      </w:pPr>
      <w:r>
        <w:rPr>
          <w:b/>
        </w:rPr>
        <w:t>от 3 октября 2019 г. N 467-п</w:t>
      </w:r>
    </w:p>
    <w:p>
      <w:pPr>
        <w:pStyle w:val="ConsPlusNormal"/>
        <w:ind w:left="0" w:firstLine="540"/>
        <w:jc w:val="both"/>
        <w:rPr>
          <w:b/>
          <w:b/>
        </w:rPr>
      </w:pPr>
      <w:r>
        <w:rPr>
          <w:b/>
        </w:rPr>
      </w:r>
    </w:p>
    <w:p>
      <w:pPr>
        <w:pStyle w:val="ConsPlusNormal"/>
        <w:ind w:left="0" w:hanging="0"/>
        <w:jc w:val="center"/>
        <w:rPr/>
      </w:pPr>
      <w:r>
        <w:rPr>
          <w:b/>
        </w:rPr>
        <w:t>Об утверждении Положения о составе,</w:t>
      </w:r>
    </w:p>
    <w:p>
      <w:pPr>
        <w:pStyle w:val="ConsPlusNormal"/>
        <w:ind w:left="0" w:hanging="0"/>
        <w:jc w:val="center"/>
        <w:rPr/>
      </w:pPr>
      <w:r>
        <w:rPr>
          <w:b/>
        </w:rPr>
        <w:t>порядке подготовки Генерального плана</w:t>
      </w:r>
    </w:p>
    <w:p>
      <w:pPr>
        <w:pStyle w:val="ConsPlusNormal"/>
        <w:ind w:left="0" w:hanging="0"/>
        <w:jc w:val="center"/>
        <w:rPr/>
      </w:pPr>
      <w:r>
        <w:rPr>
          <w:b/>
        </w:rPr>
        <w:t>города Челябинска, порядке подготовки изменений</w:t>
      </w:r>
    </w:p>
    <w:p>
      <w:pPr>
        <w:pStyle w:val="ConsPlusNormal"/>
        <w:ind w:left="0" w:hanging="0"/>
        <w:jc w:val="center"/>
        <w:rPr/>
      </w:pPr>
      <w:r>
        <w:rPr>
          <w:b/>
        </w:rPr>
        <w:t>и внесения их в Генеральный план города Челябинска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 xml:space="preserve">В соответствии с Градостроительным </w:t>
      </w:r>
      <w:hyperlink r:id="rId2">
        <w:r>
          <w:rPr>
            <w:rStyle w:val="ListLabel2"/>
            <w:color w:val="0000FF"/>
          </w:rPr>
          <w:t>кодексом</w:t>
        </w:r>
      </w:hyperlink>
      <w:r>
        <w:rPr/>
        <w:t xml:space="preserve"> Российской Федерации, Федеральным </w:t>
      </w:r>
      <w:hyperlink r:id="rId3">
        <w:r>
          <w:rPr>
            <w:rStyle w:val="ListLabel2"/>
            <w:color w:val="0000FF"/>
          </w:rPr>
          <w:t>законом</w:t>
        </w:r>
      </w:hyperlink>
      <w:r>
        <w:rPr/>
        <w:t xml:space="preserve"> от 06.10.2003 N 131-ФЗ "Об общих принципах организации местного самоуправления в Российской Федерации", </w:t>
      </w:r>
      <w:hyperlink r:id="rId4">
        <w:r>
          <w:rPr>
            <w:rStyle w:val="ListLabel2"/>
            <w:color w:val="0000FF"/>
          </w:rPr>
          <w:t>Уставом</w:t>
        </w:r>
      </w:hyperlink>
      <w:r>
        <w:rPr/>
        <w:t xml:space="preserve"> города Челябинска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ПОСТАНОВЛЯЮ: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 xml:space="preserve">1. Утвердить прилагаемое </w:t>
      </w:r>
      <w:hyperlink w:anchor="Par41">
        <w:r>
          <w:rPr>
            <w:rStyle w:val="ListLabel2"/>
            <w:color w:val="0000FF"/>
          </w:rPr>
          <w:t>Положение</w:t>
        </w:r>
      </w:hyperlink>
      <w:r>
        <w:rPr/>
        <w:t xml:space="preserve"> о составе, порядке подготовки Генерального плана города Челябинска, порядке подготовки изменений и внесения их в Генеральный план города Челябинска (далее - Положение).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2. Управлению информационной политики Администрации города Челябинска (Сафонов В.А.) опубликовать настоящее постановление в порядке, установленном для официального опубликования муниципальных правовых актов, и разместить настоящее постановление на официальном сайте Администрации города Челябинска в сети Интернет.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3. Внести настоящее постановление в раздел 6 "Градостроительство" нормативной правовой базы местного самоуправления города Челябинска.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4. Контроль за исполнением настоящего постановления возложить на заместителя Главы города по вопросам градостроительства Шамне В.В.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 xml:space="preserve">5. Настоящее постановление вступает в силу после его официального опубликования в соответствии с законодательством Российской Федерации, за исключением </w:t>
      </w:r>
      <w:hyperlink w:anchor="Par102">
        <w:r>
          <w:rPr>
            <w:rStyle w:val="ListLabel2"/>
            <w:color w:val="0000FF"/>
          </w:rPr>
          <w:t>абзаца второго</w:t>
        </w:r>
      </w:hyperlink>
      <w:r>
        <w:rPr/>
        <w:t xml:space="preserve"> и </w:t>
      </w:r>
      <w:hyperlink w:anchor="Par104">
        <w:r>
          <w:rPr>
            <w:rStyle w:val="ListLabel2"/>
            <w:color w:val="0000FF"/>
          </w:rPr>
          <w:t>абзаца третьего пункта 17</w:t>
        </w:r>
      </w:hyperlink>
      <w:r>
        <w:rPr/>
        <w:t xml:space="preserve"> настоящего Положения.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bookmarkStart w:id="0" w:name="Par24"/>
      <w:bookmarkEnd w:id="0"/>
      <w:r>
        <w:rPr/>
        <w:t xml:space="preserve">6. </w:t>
      </w:r>
      <w:hyperlink w:anchor="Par102">
        <w:r>
          <w:rPr>
            <w:rStyle w:val="ListLabel2"/>
            <w:color w:val="0000FF"/>
          </w:rPr>
          <w:t>Абзац второй</w:t>
        </w:r>
      </w:hyperlink>
      <w:r>
        <w:rPr/>
        <w:t xml:space="preserve"> и </w:t>
      </w:r>
      <w:hyperlink w:anchor="Par104">
        <w:r>
          <w:rPr>
            <w:rStyle w:val="ListLabel2"/>
            <w:color w:val="0000FF"/>
          </w:rPr>
          <w:t>абзац третий пункта 17</w:t>
        </w:r>
      </w:hyperlink>
      <w:r>
        <w:rPr/>
        <w:t xml:space="preserve"> настоящего Положения вступают в силу с 1 ноября 2019 года.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Временно</w:t>
      </w:r>
    </w:p>
    <w:p>
      <w:pPr>
        <w:pStyle w:val="ConsPlusNormal"/>
        <w:ind w:left="0" w:hanging="0"/>
        <w:jc w:val="right"/>
        <w:rPr/>
      </w:pPr>
      <w:r>
        <w:rPr/>
        <w:t>исполняющий полномочия</w:t>
      </w:r>
    </w:p>
    <w:p>
      <w:pPr>
        <w:pStyle w:val="ConsPlusNormal"/>
        <w:ind w:left="0" w:hanging="0"/>
        <w:jc w:val="right"/>
        <w:rPr/>
      </w:pPr>
      <w:r>
        <w:rPr/>
        <w:t>Главы города Челябинска</w:t>
      </w:r>
    </w:p>
    <w:p>
      <w:pPr>
        <w:pStyle w:val="ConsPlusNormal"/>
        <w:ind w:left="0" w:hanging="0"/>
        <w:jc w:val="right"/>
        <w:rPr/>
      </w:pPr>
      <w:r>
        <w:rPr/>
        <w:t>Н.П.КОТОВА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numPr>
          <w:ilvl w:val="0"/>
          <w:numId w:val="0"/>
        </w:numPr>
        <w:ind w:left="0" w:hanging="0"/>
        <w:jc w:val="right"/>
        <w:outlineLvl w:val="0"/>
        <w:rPr/>
      </w:pPr>
      <w:r>
        <w:rPr/>
        <w:t>Утверждено</w:t>
      </w:r>
    </w:p>
    <w:p>
      <w:pPr>
        <w:pStyle w:val="ConsPlusNormal"/>
        <w:ind w:left="0" w:hanging="0"/>
        <w:jc w:val="right"/>
        <w:rPr/>
      </w:pPr>
      <w:r>
        <w:rPr/>
        <w:t>постановлением</w:t>
      </w:r>
    </w:p>
    <w:p>
      <w:pPr>
        <w:pStyle w:val="ConsPlusNormal"/>
        <w:ind w:left="0" w:hanging="0"/>
        <w:jc w:val="right"/>
        <w:rPr/>
      </w:pPr>
      <w:r>
        <w:rPr/>
        <w:t>Администрации</w:t>
      </w:r>
    </w:p>
    <w:p>
      <w:pPr>
        <w:pStyle w:val="ConsPlusNormal"/>
        <w:ind w:left="0" w:hanging="0"/>
        <w:jc w:val="right"/>
        <w:rPr/>
      </w:pPr>
      <w:r>
        <w:rPr/>
        <w:t>города Челябинска</w:t>
      </w:r>
    </w:p>
    <w:p>
      <w:pPr>
        <w:pStyle w:val="ConsPlusNormal"/>
        <w:ind w:left="0" w:hanging="0"/>
        <w:jc w:val="right"/>
        <w:rPr/>
      </w:pPr>
      <w:r>
        <w:rPr/>
        <w:t>от 3 октября 2019 г. N 467-п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center"/>
        <w:rPr/>
      </w:pPr>
      <w:bookmarkStart w:id="1" w:name="Par41"/>
      <w:bookmarkEnd w:id="1"/>
      <w:r>
        <w:rPr>
          <w:b/>
        </w:rPr>
        <w:t>Положение</w:t>
      </w:r>
    </w:p>
    <w:p>
      <w:pPr>
        <w:pStyle w:val="ConsPlusNormal"/>
        <w:ind w:left="0" w:hanging="0"/>
        <w:jc w:val="center"/>
        <w:rPr/>
      </w:pPr>
      <w:r>
        <w:rPr>
          <w:b/>
        </w:rPr>
        <w:t>о составе, порядке подготовки Генерального плана</w:t>
      </w:r>
    </w:p>
    <w:p>
      <w:pPr>
        <w:pStyle w:val="ConsPlusNormal"/>
        <w:ind w:left="0" w:hanging="0"/>
        <w:jc w:val="center"/>
        <w:rPr/>
      </w:pPr>
      <w:r>
        <w:rPr>
          <w:b/>
        </w:rPr>
        <w:t>города Челябинска, порядке подготовки изменений</w:t>
      </w:r>
    </w:p>
    <w:p>
      <w:pPr>
        <w:pStyle w:val="ConsPlusNormal"/>
        <w:ind w:left="0" w:hanging="0"/>
        <w:jc w:val="center"/>
        <w:rPr/>
      </w:pPr>
      <w:r>
        <w:rPr>
          <w:b/>
        </w:rPr>
        <w:t>и внесения их в Генеральный план города Челябинска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numPr>
          <w:ilvl w:val="0"/>
          <w:numId w:val="0"/>
        </w:numPr>
        <w:ind w:left="0" w:hanging="0"/>
        <w:jc w:val="center"/>
        <w:outlineLvl w:val="1"/>
        <w:rPr/>
      </w:pPr>
      <w:r>
        <w:rPr>
          <w:b/>
        </w:rPr>
        <w:t>I. Общие положения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1. Положение о составе, порядке подготовки Генерального плана города Челябинска, порядке подготовки изменений и внесения их в Генеральный план города Челябинска устанавливает состав, порядок подготовки Генерального плана города Челябинска, порядок подготовки изменений и внесения их в Генеральный план города Челябинска, а также порядок реализации Генерального плана города Челябинска (далее - Положение).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 xml:space="preserve">2. Настоящее Положение разработано в соответствии с Градостроительным </w:t>
      </w:r>
      <w:hyperlink r:id="rId5">
        <w:r>
          <w:rPr>
            <w:rStyle w:val="ListLabel2"/>
            <w:color w:val="0000FF"/>
          </w:rPr>
          <w:t>кодексом</w:t>
        </w:r>
      </w:hyperlink>
      <w:r>
        <w:rPr/>
        <w:t xml:space="preserve"> Российской Федерации, Федеральным </w:t>
      </w:r>
      <w:hyperlink r:id="rId6">
        <w:r>
          <w:rPr>
            <w:rStyle w:val="ListLabel2"/>
            <w:color w:val="0000FF"/>
          </w:rPr>
          <w:t>законом</w:t>
        </w:r>
      </w:hyperlink>
      <w:r>
        <w:rPr/>
        <w:t xml:space="preserve"> от 06.10.2003 N 131-ФЗ "Об общих принципах организации местного самоуправления в Российской Федерации".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3. Генеральный план города Челябинска (далее - Генеральный план) является документом территориального планирования города Челябинска, в котором определяется назначение территорий города Челябинска, исходя из совокупности социальных, экономических и иных факторов, в целях обеспечения устойчивого развития его территории, развития инженерной, транспортной и социальной инфраструктур, обеспечения учета интересов граждан и объединений граждан, города Челябинска.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numPr>
          <w:ilvl w:val="0"/>
          <w:numId w:val="0"/>
        </w:numPr>
        <w:ind w:left="0" w:hanging="0"/>
        <w:jc w:val="center"/>
        <w:outlineLvl w:val="1"/>
        <w:rPr/>
      </w:pPr>
      <w:r>
        <w:rPr>
          <w:b/>
        </w:rPr>
        <w:t>II. Состав Генерального плана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4. Генеральный план содержит: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1) положение о территориальном планировании;</w:t>
      </w:r>
    </w:p>
    <w:p>
      <w:pPr>
        <w:pStyle w:val="ConsPlusNormal"/>
        <w:spacing w:before="160" w:after="0"/>
        <w:ind w:left="0" w:firstLine="540"/>
        <w:jc w:val="both"/>
        <w:rPr/>
      </w:pPr>
      <w:bookmarkStart w:id="2" w:name="Par56"/>
      <w:bookmarkEnd w:id="2"/>
      <w:r>
        <w:rPr/>
        <w:t>2) карту планируемого размещения объектов местного значения города Челябинска (далее - город);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3) карту границ населенного пункта;</w:t>
      </w:r>
    </w:p>
    <w:p>
      <w:pPr>
        <w:pStyle w:val="ConsPlusNormal"/>
        <w:spacing w:before="160" w:after="0"/>
        <w:ind w:left="0" w:firstLine="540"/>
        <w:jc w:val="both"/>
        <w:rPr/>
      </w:pPr>
      <w:bookmarkStart w:id="3" w:name="Par58"/>
      <w:bookmarkEnd w:id="3"/>
      <w:r>
        <w:rPr/>
        <w:t>4) карту функциональных зон города.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5. Положение о территориальном планировании, содержащееся в Генеральном плане, включает в себя: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1) сведения о видах, назначении и наименованиях планируемых для размещения объектов местного значения города, их основные характеристики, их местоположение (для объектов местного значения, не являющихся линейными объектами, указываются функциональные зоны), а также характеристики зон с особыми условиями использования территорий в случае, если установление таких зон требуется в связи с размещением данных объектов;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2) параметры функциональных зон, а также сведения о планируемых для размещения в них объектах федерального значения, объектах регионального значения, объектах местного значения, за исключением линейных объектов.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 xml:space="preserve">6. На указанных в </w:t>
      </w:r>
      <w:hyperlink w:anchor="Par56">
        <w:r>
          <w:rPr>
            <w:rStyle w:val="ListLabel2"/>
            <w:color w:val="0000FF"/>
          </w:rPr>
          <w:t>подпунктах 2</w:t>
        </w:r>
      </w:hyperlink>
      <w:r>
        <w:rPr/>
        <w:t xml:space="preserve"> - </w:t>
      </w:r>
      <w:hyperlink w:anchor="Par58">
        <w:r>
          <w:rPr>
            <w:rStyle w:val="ListLabel2"/>
            <w:color w:val="0000FF"/>
          </w:rPr>
          <w:t>4 пункта 4</w:t>
        </w:r>
      </w:hyperlink>
      <w:r>
        <w:rPr/>
        <w:t xml:space="preserve"> Положения картах соответственно отображаются: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1) планируемые для размещения объекты местного значения города, относящиеся к следующим областям: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- электро-, тепло-, газо- и водоснабжение населения, водоотведение;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- автомобильные дороги местного значения;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- физическая культура и массовый спорт, образование, здравоохранение, обработка, утилизация, обезвреживание, размещение твердых коммунальных отходов;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- иные области в связи с решением вопросов местного значения города;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2) границы населенного пункта;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3) границы и описание функциональных зон с указанием планируемых для размещения в них объектов федерального значения, объектов регионального значения, объектов местного значения (за исключением линейных объектов) и местоположения линейных объектов федерального значения, линейных объектов регионального значения, линейных объектов местного значения.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7. Обязательным приложением к Генеральному плану являются сведения о границах населенного пункта, которые должны содержать графическое описание местоположения границ населенного пункта, перечень координат характерных точек этих границ в системе координат, используемой для ведения Единого государственного реестра недвижимости.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8. К Генеральному плану прилагаются материалы по его обоснованию в текстовой форме и в виде карт.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9. Материалы по обоснованию Генерального плана в текстовой форме содержат: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1) сведения о планах и программах комплексного социально-экономического развития города (при их наличии), для реализации которых осуществляется создание объектов местного значения города;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2) обоснование выбранного варианта размещения объектов местного значения города на основе анализа использования территории города, возможных направлений развития этой территории и прогнозируемых ограничений ее использования, определяемых, в том числе, на основании сведений, документов, материалов, содержащихся в государственных информационных системах обеспечения градостроительной деятельности, федеральной государственной информационной системе территориального планирования, в том числе материалов и результатов инженерных изысканий, содержащихся в государственных информационных системах обеспечения градостроительной деятельности;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3) оценку возможного влияния планируемых для размещения объектов местного значения города на комплексное развитие этой территории;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4) утвержденные документами территориального планирования Российской Федерации, документами территориального планирования Челябинской области сведения о видах, назначении и наименованиях планируемых для размещения на территории города объектов федерального значения, объектов регионального значения, их основные характеристики, местоположение, характеристики зон с особыми условиями использования территорий в случае, если установление таких зон требуется в связи с размещением данных объектов, реквизиты указанных документов территориального планирования, а также обоснование выбранного варианта размещения данных объектов на основе анализа использования этих территорий, возможных направлений их развития и прогнозируемых ограничений их использования;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5) перечень и характеристику основных факторов риска возникновения чрезвычайных ситуаций природного и техногенного характера;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6) перечень земельных участков, которые включаются в границы города или исключаются из его границ, с указанием категорий земель, к которым планируется отнести эти земельные участки, и целей их планируемого использования.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10. Материалы по обоснованию Генерального плана в виде карт отображают: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1) границы города;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2) местоположение существующих и строящихся объектов местного значения;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3) особые экономические зоны (при их наличии);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4) особо охраняемые природные территории федерального, регионального, местного значения;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5) территории объектов культурного наследия;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6) зоны с особыми условиями использования территорий;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7) территории, подверженные риску возникновения чрезвычайных ситуаций природного и техногенного характера;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8) границы лесничеств;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9) иные объекты, иные территории и (или) зоны, которые оказали влияние на установление функциональных зон и (или) планируемое размещение объектов местного значения города или объектов федерального значения, объектов регионального значения.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numPr>
          <w:ilvl w:val="0"/>
          <w:numId w:val="0"/>
        </w:numPr>
        <w:ind w:left="0" w:hanging="0"/>
        <w:jc w:val="center"/>
        <w:outlineLvl w:val="1"/>
        <w:rPr/>
      </w:pPr>
      <w:r>
        <w:rPr>
          <w:b/>
        </w:rPr>
        <w:t>III. Порядок подготовки Генерального плана, порядок</w:t>
      </w:r>
    </w:p>
    <w:p>
      <w:pPr>
        <w:pStyle w:val="ConsPlusNormal"/>
        <w:ind w:left="0" w:hanging="0"/>
        <w:jc w:val="center"/>
        <w:rPr/>
      </w:pPr>
      <w:r>
        <w:rPr>
          <w:b/>
        </w:rPr>
        <w:t>подготовки изменений и внесения их в Генеральный план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11. Решение о подготовке проекта Генерального плана, а также решение о подготовке предложений о внесении в Генеральный план изменений принимаются Главой города Челябинска (далее - Глава города).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12. Генеральный план, в том числе внесение изменений в него, утверждаются решением Челябинской городской Думы (далее - городская Дума).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13. Разработка проекта Генерального плана, внесения изменений в Генеральный план осуществляются Администрацией города Челябинска (далее - Администрация города).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Обеспечение разработки проекта Генерального плана, внесения изменений в Генеральный план осуществляются Комитетом градостроительства и архитектуры города Челябинска (далее - Комитет) путем заключения муниципального контракта в соответствии с законодательством Российской Федерации о контрактной системе в сфере закупок, товаров, работ, услуг для обеспечения государственных и муниципальных нужд.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 xml:space="preserve">14. Подготовка проекта Генерального плана осуществляется в соответствии с требованиями </w:t>
      </w:r>
      <w:hyperlink r:id="rId7">
        <w:r>
          <w:rPr>
            <w:rStyle w:val="ListLabel2"/>
            <w:color w:val="0000FF"/>
          </w:rPr>
          <w:t>статьи 9</w:t>
        </w:r>
      </w:hyperlink>
      <w:r>
        <w:rPr/>
        <w:t xml:space="preserve"> Градостроительного кодекса Российской Федерации и с учетом региональных и местных нормативов градостроительного проектирования, результатов публичных слушаний по проекту Генерального плана, а также с учетом предложений заинтересованных лиц.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 xml:space="preserve">15. При наличии на территории города объектов культурного наследия в процессе подготовки Генерального плана в обязательном порядке учитываются ограничения использования земельных участков и объектов капитального строительства, расположенных в границах зон охраны объектов культурного наследия, в соответствии с законодательством Российской Федерации об охране объектов культурного наследия и </w:t>
      </w:r>
      <w:hyperlink r:id="rId8">
        <w:r>
          <w:rPr>
            <w:rStyle w:val="ListLabel2"/>
            <w:color w:val="0000FF"/>
          </w:rPr>
          <w:t>статьей 27</w:t>
        </w:r>
      </w:hyperlink>
      <w:r>
        <w:rPr/>
        <w:t xml:space="preserve"> Градостроительного кодекса Российской Федерации.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16. Администрация города, Комитет обеспечивают доступ заинтересованных лиц к проекту Генерального плана и материалам по его обоснованию в информационной системе территориального планирования с использованием официального сайта в сети Интернет, определенного федеральным органом исполнительной власти, уполномоченным на осуществление контроля за соблюдением порядка ведения информационной системы территориального планирования, не менее чем за три месяца до утверждения Генерального плана.</w:t>
      </w:r>
    </w:p>
    <w:p>
      <w:pPr>
        <w:pStyle w:val="ConsPlusNormal"/>
        <w:spacing w:before="160" w:after="0"/>
        <w:ind w:left="0" w:firstLine="540"/>
        <w:jc w:val="both"/>
        <w:rPr/>
      </w:pPr>
      <w:bookmarkStart w:id="4" w:name="Par100"/>
      <w:bookmarkEnd w:id="4"/>
      <w:r>
        <w:rPr/>
        <w:t xml:space="preserve">17. В случаях, предусмотренных </w:t>
      </w:r>
      <w:hyperlink r:id="rId9">
        <w:r>
          <w:rPr>
            <w:rStyle w:val="ListLabel2"/>
            <w:color w:val="0000FF"/>
          </w:rPr>
          <w:t>статьей 25</w:t>
        </w:r>
      </w:hyperlink>
      <w:r>
        <w:rPr/>
        <w:t xml:space="preserve"> Градостроительного кодекса Российской Федерации, проект Генерального плана подлежит согласованию с уполномоченным Правительством Российской Федерации федеральным органом исполнительной власти, Правительством Челябинской области, заинтересованными органами местного самоуправления муниципальных образований, имеющих общую границу с городом.</w:t>
      </w:r>
    </w:p>
    <w:p>
      <w:pPr>
        <w:pStyle w:val="ConsPlusNormal"/>
        <w:rPr>
          <w:b w:val="false"/>
          <w:b w:val="false"/>
        </w:rPr>
      </w:pPr>
      <w:r>
        <w:rPr>
          <w:b w:val="false"/>
        </w:rPr>
      </w:r>
    </w:p>
    <w:tbl>
      <w:tblPr>
        <w:tblW w:w="9355" w:type="dxa"/>
        <w:jc w:val="center"/>
        <w:tblInd w:w="0" w:type="dxa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9355"/>
      </w:tblGrid>
      <w:tr>
        <w:trPr/>
        <w:tc>
          <w:tcPr>
            <w:tcW w:w="9355" w:type="dxa"/>
            <w:tcBorders>
              <w:left w:val="single" w:sz="24" w:space="0" w:color="CED3F1"/>
              <w:right w:val="single" w:sz="24" w:space="0" w:color="F4F3F8"/>
            </w:tcBorders>
            <w:shd w:color="auto" w:fill="F4F3F8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/>
            </w:pPr>
            <w:r>
              <w:rPr>
                <w:color w:val="392C69"/>
              </w:rPr>
              <w:t>Абзац второй пункта 17 вступает в силу с 1 ноября 2019 года (</w:t>
            </w:r>
            <w:hyperlink w:anchor="Par24">
              <w:r>
                <w:rPr>
                  <w:rStyle w:val="ListLabel2"/>
                  <w:color w:val="0000FF"/>
                </w:rPr>
                <w:t>пункт 6</w:t>
              </w:r>
            </w:hyperlink>
            <w:r>
              <w:rPr>
                <w:color w:val="392C69"/>
              </w:rPr>
              <w:t xml:space="preserve"> данного документа).</w:t>
            </w:r>
          </w:p>
        </w:tc>
      </w:tr>
    </w:tbl>
    <w:p>
      <w:pPr>
        <w:pStyle w:val="ConsPlusNormal"/>
        <w:spacing w:before="200" w:after="0"/>
        <w:ind w:left="0" w:firstLine="540"/>
        <w:jc w:val="both"/>
        <w:rPr/>
      </w:pPr>
      <w:bookmarkStart w:id="5" w:name="Par102"/>
      <w:bookmarkEnd w:id="5"/>
      <w:r>
        <w:rPr/>
        <w:t xml:space="preserve">В случае если на территории города проведены в соответствии с законодательством Российской Федерации в области охраны атмосферного воздуха сводные расчеты загрязнения атмосферного воздуха, проект Генерального плана подлежит согласованию с уполномоченным Правительством Челябинской области органом исполнительной власти в области охраны атмосферного воздуха в соответствии с Градостроительным </w:t>
      </w:r>
      <w:hyperlink r:id="rId10">
        <w:r>
          <w:rPr>
            <w:rStyle w:val="ListLabel2"/>
            <w:color w:val="0000FF"/>
          </w:rPr>
          <w:t>кодексом</w:t>
        </w:r>
      </w:hyperlink>
      <w:r>
        <w:rPr/>
        <w:t xml:space="preserve"> Российской Федерации в порядке, установленном Правительством Челябинской области.</w:t>
      </w:r>
    </w:p>
    <w:p>
      <w:pPr>
        <w:pStyle w:val="ConsPlusNormal"/>
        <w:rPr>
          <w:b w:val="false"/>
          <w:b w:val="false"/>
        </w:rPr>
      </w:pPr>
      <w:r>
        <w:rPr>
          <w:b w:val="false"/>
        </w:rPr>
      </w:r>
    </w:p>
    <w:tbl>
      <w:tblPr>
        <w:tblW w:w="9355" w:type="dxa"/>
        <w:jc w:val="center"/>
        <w:tblInd w:w="0" w:type="dxa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9355"/>
      </w:tblGrid>
      <w:tr>
        <w:trPr/>
        <w:tc>
          <w:tcPr>
            <w:tcW w:w="9355" w:type="dxa"/>
            <w:tcBorders>
              <w:left w:val="single" w:sz="24" w:space="0" w:color="CED3F1"/>
              <w:right w:val="single" w:sz="24" w:space="0" w:color="F4F3F8"/>
            </w:tcBorders>
            <w:shd w:color="auto" w:fill="F4F3F8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/>
            </w:pPr>
            <w:r>
              <w:rPr>
                <w:color w:val="392C69"/>
              </w:rPr>
              <w:t>Абзац третий пункта 17 вступает в силу с 1 ноября 2019 года (</w:t>
            </w:r>
            <w:hyperlink w:anchor="Par24">
              <w:r>
                <w:rPr>
                  <w:rStyle w:val="ListLabel2"/>
                  <w:color w:val="0000FF"/>
                </w:rPr>
                <w:t>пункт 6</w:t>
              </w:r>
            </w:hyperlink>
            <w:r>
              <w:rPr>
                <w:color w:val="392C69"/>
              </w:rPr>
              <w:t xml:space="preserve"> данного документа).</w:t>
            </w:r>
          </w:p>
        </w:tc>
      </w:tr>
    </w:tbl>
    <w:p>
      <w:pPr>
        <w:pStyle w:val="ConsPlusNormal"/>
        <w:spacing w:before="200" w:after="0"/>
        <w:ind w:left="0" w:firstLine="540"/>
        <w:jc w:val="both"/>
        <w:rPr/>
      </w:pPr>
      <w:bookmarkStart w:id="6" w:name="Par104"/>
      <w:bookmarkEnd w:id="6"/>
      <w:r>
        <w:rPr/>
        <w:t xml:space="preserve">В случаях, предусмотренных </w:t>
      </w:r>
      <w:hyperlink w:anchor="Par102">
        <w:r>
          <w:rPr>
            <w:rStyle w:val="ListLabel2"/>
            <w:color w:val="0000FF"/>
          </w:rPr>
          <w:t>абзацем вторым</w:t>
        </w:r>
      </w:hyperlink>
      <w:r>
        <w:rPr/>
        <w:t xml:space="preserve"> настоящего пункта, проект Генерального плана города подлежат согласованию в части возможного негативного воздействия на качество атмосферного воздуха планируемых для размещения объектов, которые оказывают негативное воздействие на окружающую среду и на которых будут расположены источники выбросов загрязняющих веществ в атмосферный воздух.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 xml:space="preserve">18. Администрация города в случаях согласования проекта Генерального плана в соответствии с </w:t>
      </w:r>
      <w:hyperlink w:anchor="Par100">
        <w:r>
          <w:rPr>
            <w:rStyle w:val="ListLabel2"/>
            <w:color w:val="0000FF"/>
          </w:rPr>
          <w:t>пунктом 17</w:t>
        </w:r>
      </w:hyperlink>
      <w:r>
        <w:rPr/>
        <w:t xml:space="preserve"> настоящего Положения уведомляет в электронной форме и (или) посредством почтового отправления уполномоченный Правительством Российской Федерации федеральный орган исполнительной власти, Правительство Челябинской области, органы местного самоуправления муниципальных образований, имеющих общую границу с городом, об обеспечении доступа к проекту Генерального плана и материалам по его обоснованию в информационной системе территориального планирования в трехдневный срок со дня обеспечения данного доступа.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19. Заинтересованные лица вправе представить свои предложения по проекту Генерального плана.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 xml:space="preserve">20. Проект Генерального плана подлежит обязательному рассмотрению на публичных слушаниях, проводимых в соответствии со </w:t>
      </w:r>
      <w:hyperlink r:id="rId11">
        <w:r>
          <w:rPr>
            <w:rStyle w:val="ListLabel2"/>
            <w:color w:val="0000FF"/>
          </w:rPr>
          <w:t>статьей 28</w:t>
        </w:r>
      </w:hyperlink>
      <w:r>
        <w:rPr/>
        <w:t xml:space="preserve"> Градостроительного кодекса Российской Федерации, </w:t>
      </w:r>
      <w:hyperlink r:id="rId12">
        <w:r>
          <w:rPr>
            <w:rStyle w:val="ListLabel2"/>
            <w:color w:val="0000FF"/>
          </w:rPr>
          <w:t>Положением</w:t>
        </w:r>
      </w:hyperlink>
      <w:r>
        <w:rPr/>
        <w:t xml:space="preserve"> об организации и проведении публичных слушаний по вопросам землепользования и застройки города Челябинска, утвержденным решением Челябинской городской Думы от 27.08.2013 N 44/17.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21. Протокол публичных слушаний по проекту Генерального плана, заключение о результатах таких публичных слушаний являются обязательными приложениями к проекту Генерального плана, направляемому Главой города в городскую Думу.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22. Городская Дума с учетом протокола публичных слушаний по проекту Генерального плана и заключения о результатах таких публичных слушаний принимает решение об утверждении Генерального плана или об отклонении проекта Генерального плана и о направлении его Главе города на доработку в соответствии с указанными протоколом и заключением.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23. Правообладатели земельных участков и объектов капитального строительства, если их права и законные интересы нарушаются или могут быть нарушены в результате утверждения Генерального плана, вправе оспорить Генеральный план в судебном порядке.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24. Органы государственной власти Российской Федерации, органы государственной власти Челябинской области, органы местного самоуправления города Челябинска, заинтересованные физические и юридические лица вправе обращаться к Главе города с предложениями о внесении изменений в Генеральный план.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 xml:space="preserve">25. Внесение изменений в Генеральный план осуществляется в соответствии со </w:t>
      </w:r>
      <w:hyperlink r:id="rId13">
        <w:r>
          <w:rPr>
            <w:rStyle w:val="ListLabel2"/>
            <w:color w:val="0000FF"/>
          </w:rPr>
          <w:t>статьями 9</w:t>
        </w:r>
      </w:hyperlink>
      <w:r>
        <w:rPr/>
        <w:t xml:space="preserve">, </w:t>
      </w:r>
      <w:hyperlink r:id="rId14">
        <w:r>
          <w:rPr>
            <w:rStyle w:val="ListLabel2"/>
            <w:color w:val="0000FF"/>
          </w:rPr>
          <w:t>24</w:t>
        </w:r>
      </w:hyperlink>
      <w:r>
        <w:rPr/>
        <w:t xml:space="preserve">, </w:t>
      </w:r>
      <w:hyperlink r:id="rId15">
        <w:r>
          <w:rPr>
            <w:rStyle w:val="ListLabel2"/>
            <w:color w:val="0000FF"/>
          </w:rPr>
          <w:t>25</w:t>
        </w:r>
      </w:hyperlink>
      <w:r>
        <w:rPr/>
        <w:t xml:space="preserve"> Градостроительного кодекса Российской Федерации и настоящим Положением.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26. Внесение в Генеральный план изменений, предусматривающих изменение границ города в целях жилищного строительства или определения зон рекреационного назначения, осуществляется без проведения общественных обсуждений или публичных слушаний.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 xml:space="preserve">27. При подготовке карты границ города в составе проекта Генерального плана в границы города подлежит включению земельный участок из земель лесного фонда в случае, если все его границы являются смежными с земельными участками, расположенными в границах города (с учетом сохранения в отношении такого земельного участка ограничений в соответствии с </w:t>
      </w:r>
      <w:hyperlink r:id="rId16">
        <w:r>
          <w:rPr>
            <w:rStyle w:val="ListLabel2"/>
            <w:color w:val="0000FF"/>
          </w:rPr>
          <w:t>пунктом 6.1 статьи 36</w:t>
        </w:r>
      </w:hyperlink>
      <w:r>
        <w:rPr/>
        <w:t xml:space="preserve"> Градостроительного кодекса Российской Федерации).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28. Доступ к утвержденному Генеральному плану и материалам по его обоснованию в информационной системе территориального планирования должен быть обеспечен Администрацией города с использованием официального сайта Администрации города, определенного федеральным органом исполнительной власти, уполномоченным на осуществление контроля за соблюдением порядка ведения информационной системы территориального планирования, в срок, не превышающий десяти дней со дня утверждения Генерального плана.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Председатель Комитета</w:t>
      </w:r>
    </w:p>
    <w:p>
      <w:pPr>
        <w:pStyle w:val="ConsPlusNormal"/>
        <w:ind w:left="0" w:hanging="0"/>
        <w:jc w:val="right"/>
        <w:rPr/>
      </w:pPr>
      <w:r>
        <w:rPr/>
        <w:t>градостроительства и архитектуры</w:t>
      </w:r>
    </w:p>
    <w:p>
      <w:pPr>
        <w:pStyle w:val="ConsPlusNormal"/>
        <w:ind w:left="0" w:hanging="0"/>
        <w:jc w:val="right"/>
        <w:rPr/>
      </w:pPr>
      <w:r>
        <w:rPr/>
        <w:t>города Челябинска</w:t>
      </w:r>
    </w:p>
    <w:p>
      <w:pPr>
        <w:pStyle w:val="ConsPlusNormal"/>
        <w:ind w:left="0" w:hanging="0"/>
        <w:jc w:val="right"/>
        <w:rPr/>
      </w:pPr>
      <w:r>
        <w:rPr/>
        <w:t>С.В.РЕПРИНЦЕВ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pBdr>
          <w:top w:val="single" w:sz="6" w:space="0" w:color="000000"/>
        </w:pBdr>
        <w:spacing w:before="100" w:after="100"/>
        <w:ind w:left="0" w:hanging="0"/>
        <w:jc w:val="both"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 Unicode MS"/>
        <w:kern w:val="2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</w:pPr>
    <w:rPr>
      <w:rFonts w:ascii="Liberation Serif" w:hAnsi="Liberation Serif" w:eastAsia="NSimSun" w:cs="Arial Unicode MS"/>
      <w:color w:val="auto"/>
      <w:kern w:val="2"/>
      <w:sz w:val="24"/>
      <w:szCs w:val="24"/>
      <w:lang w:val="ru-RU" w:eastAsia="zh-CN" w:bidi="hi-IN"/>
    </w:rPr>
  </w:style>
  <w:style w:type="character" w:styleId="ListLabel1">
    <w:name w:val="ListLabel 1"/>
    <w:qFormat/>
    <w:rPr>
      <w:rFonts w:ascii="Tahoma" w:hAnsi="Tahoma"/>
      <w:color w:val="0000FF"/>
      <w:sz w:val="20"/>
    </w:rPr>
  </w:style>
  <w:style w:type="character" w:styleId="Style14">
    <w:name w:val="Интернет-ссылка"/>
    <w:rPr>
      <w:color w:val="000080"/>
      <w:u w:val="single"/>
      <w:lang w:val="zxx" w:eastAsia="zxx" w:bidi="zxx"/>
    </w:rPr>
  </w:style>
  <w:style w:type="character" w:styleId="ListLabel2">
    <w:name w:val="ListLabel 2"/>
    <w:qFormat/>
    <w:rPr>
      <w:color w:val="0000FF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Arial Unicode MS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Arial Unicode MS"/>
    </w:rPr>
  </w:style>
  <w:style w:type="paragraph" w:styleId="ConsPlusNormal">
    <w:name w:val="ConsPlusNormal"/>
    <w:qFormat/>
    <w:pPr>
      <w:widowControl w:val="false"/>
    </w:pPr>
    <w:rPr>
      <w:rFonts w:ascii="Arial" w:hAnsi="Arial" w:eastAsia="Arial" w:cs="Courier New"/>
      <w:b w:val="false"/>
      <w:i w:val="false"/>
      <w:strike w:val="false"/>
      <w:dstrike w:val="false"/>
      <w:color w:val="auto"/>
      <w:kern w:val="2"/>
      <w:sz w:val="16"/>
      <w:szCs w:val="24"/>
      <w:u w:val="none"/>
      <w:lang w:val="ru-RU" w:eastAsia="zh-CN" w:bidi="hi-IN"/>
    </w:rPr>
  </w:style>
  <w:style w:type="paragraph" w:styleId="ConsPlusNonformat">
    <w:name w:val="ConsPlusNonformat"/>
    <w:qFormat/>
    <w:pPr>
      <w:widowControl w:val="false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ConsPlusTitle">
    <w:name w:val="ConsPlusTitle"/>
    <w:qFormat/>
    <w:pPr>
      <w:widowControl w:val="false"/>
    </w:pPr>
    <w:rPr>
      <w:rFonts w:ascii="Arial" w:hAnsi="Arial" w:eastAsia="Arial" w:cs="Courier New"/>
      <w:b/>
      <w:i w:val="false"/>
      <w:strike w:val="false"/>
      <w:dstrike w:val="false"/>
      <w:color w:val="auto"/>
      <w:kern w:val="2"/>
      <w:sz w:val="16"/>
      <w:szCs w:val="24"/>
      <w:u w:val="none"/>
      <w:lang w:val="ru-RU" w:eastAsia="zh-CN" w:bidi="hi-IN"/>
    </w:rPr>
  </w:style>
  <w:style w:type="paragraph" w:styleId="ConsPlusCell">
    <w:name w:val="ConsPlusCell"/>
    <w:qFormat/>
    <w:pPr>
      <w:widowControl w:val="false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ConsPlusDocList">
    <w:name w:val="ConsPlusDocList"/>
    <w:qFormat/>
    <w:pPr>
      <w:widowControl w:val="false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16"/>
      <w:szCs w:val="24"/>
      <w:u w:val="none"/>
      <w:lang w:val="ru-RU" w:eastAsia="zh-CN" w:bidi="hi-IN"/>
    </w:rPr>
  </w:style>
  <w:style w:type="paragraph" w:styleId="ConsPlusTitlePage">
    <w:name w:val="ConsPlusTitlePage"/>
    <w:qFormat/>
    <w:pPr>
      <w:widowControl w:val="false"/>
    </w:pPr>
    <w:rPr>
      <w:rFonts w:ascii="Tahoma" w:hAnsi="Tahoma" w:eastAsia="Arial" w:cs="Courier New"/>
      <w:b w:val="false"/>
      <w:i w:val="false"/>
      <w:strike w:val="false"/>
      <w:dstrike w:val="false"/>
      <w:color w:val="auto"/>
      <w:kern w:val="2"/>
      <w:sz w:val="16"/>
      <w:szCs w:val="24"/>
      <w:u w:val="none"/>
      <w:lang w:val="ru-RU" w:eastAsia="zh-CN" w:bidi="hi-IN"/>
    </w:rPr>
  </w:style>
  <w:style w:type="paragraph" w:styleId="ConsPlusJurTerm">
    <w:name w:val="ConsPlusJurTerm"/>
    <w:qFormat/>
    <w:pPr>
      <w:widowControl w:val="false"/>
    </w:pPr>
    <w:rPr>
      <w:rFonts w:ascii="Tahoma" w:hAnsi="Tahoma" w:eastAsia="Arial" w:cs="Courier New"/>
      <w:b w:val="false"/>
      <w:i w:val="false"/>
      <w:strike w:val="false"/>
      <w:dstrike w:val="false"/>
      <w:color w:val="auto"/>
      <w:kern w:val="2"/>
      <w:sz w:val="26"/>
      <w:szCs w:val="24"/>
      <w:u w:val="none"/>
      <w:lang w:val="ru-RU" w:eastAsia="zh-CN" w:bidi="hi-IN"/>
    </w:rPr>
  </w:style>
  <w:style w:type="paragraph" w:styleId="ConsPlusTextList">
    <w:name w:val="ConsPlusTextList"/>
    <w:qFormat/>
    <w:pPr>
      <w:widowControl w:val="false"/>
    </w:pPr>
    <w:rPr>
      <w:rFonts w:ascii="Arial" w:hAnsi="Arial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consultantplus://offline/ref=05F97EC6295A19A66B79F784361220FB9E580A0248904BC10FB3C7EF91B129F5265355FEA952DDB45C3E0F4B058414D955F40CC26C1D32A4rA32E" TargetMode="External"/><Relationship Id="rId3" Type="http://schemas.openxmlformats.org/officeDocument/2006/relationships/hyperlink" Target="consultantplus://offline/ref=05F97EC6295A19A66B79F784361220FB9E580A0248974BC10FB3C7EF91B129F5265355F7A050D4E608710E1740D607D856F40EC670r13FE" TargetMode="External"/><Relationship Id="rId4" Type="http://schemas.openxmlformats.org/officeDocument/2006/relationships/hyperlink" Target="consultantplus://offline/ref=05F97EC6295A19A66B79E989207E7FF09457560F4A96429654E5C1B8CEE12FA0661353ABEA16D2B35935521F48DA4D8916BF01C7750132A2BCEF0FDAr637E" TargetMode="External"/><Relationship Id="rId5" Type="http://schemas.openxmlformats.org/officeDocument/2006/relationships/hyperlink" Target="consultantplus://offline/ref=05F97EC6295A19A66B79F784361220FB9E580A0248904BC10FB3C7EF91B129F5265355FEA952DDB45C3E0F4B058414D955F40CC26C1D32A4rA32E" TargetMode="External"/><Relationship Id="rId6" Type="http://schemas.openxmlformats.org/officeDocument/2006/relationships/hyperlink" Target="consultantplus://offline/ref=05F97EC6295A19A66B79F784361220FB9E580A0248974BC10FB3C7EF91B129F5265355F7A050D4E608710E1740D607D856F40EC670r13FE" TargetMode="External"/><Relationship Id="rId7" Type="http://schemas.openxmlformats.org/officeDocument/2006/relationships/hyperlink" Target="consultantplus://offline/ref=05F97EC6295A19A66B79F784361220FB9E580A0248904BC10FB3C7EF91B129F5265355FEA953DAB35F3E0F4B058414D955F40CC26C1D32A4rA32E" TargetMode="External"/><Relationship Id="rId8" Type="http://schemas.openxmlformats.org/officeDocument/2006/relationships/hyperlink" Target="consultantplus://offline/ref=05F97EC6295A19A66B79F784361220FB9E580A0248904BC10FB3C7EF91B129F5265355FEA952DBB0583E0F4B058414D955F40CC26C1D32A4rA32E" TargetMode="External"/><Relationship Id="rId9" Type="http://schemas.openxmlformats.org/officeDocument/2006/relationships/hyperlink" Target="consultantplus://offline/ref=05F97EC6295A19A66B79F784361220FB9E580A0248904BC10FB3C7EF91B129F5265355FEA952DCBB5E3E0F4B058414D955F40CC26C1D32A4rA32E" TargetMode="External"/><Relationship Id="rId10" Type="http://schemas.openxmlformats.org/officeDocument/2006/relationships/hyperlink" Target="consultantplus://offline/ref=05F97EC6295A19A66B79F784361220FB9E580A0248904BC10FB3C7EF91B129F534530DF2A855C1B25D2B591A43rD31E" TargetMode="External"/><Relationship Id="rId11" Type="http://schemas.openxmlformats.org/officeDocument/2006/relationships/hyperlink" Target="consultantplus://offline/ref=05F97EC6295A19A66B79F784361220FB9E580A0248904BC10FB3C7EF91B129F5265355FDA855DAB90D641F4F4CD01EC652EE12C4721Dr332E" TargetMode="External"/><Relationship Id="rId12" Type="http://schemas.openxmlformats.org/officeDocument/2006/relationships/hyperlink" Target="consultantplus://offline/ref=05F97EC6295A19A66B79E989207E7FF09457560F4A9540905BE6C1B8CEE12FA0661353ABEA16D2B35935591B49DA4D8916BF01C7750132A2BCEF0FDAr637E" TargetMode="External"/><Relationship Id="rId13" Type="http://schemas.openxmlformats.org/officeDocument/2006/relationships/hyperlink" Target="consultantplus://offline/ref=05F97EC6295A19A66B79F784361220FB9E580A0248904BC10FB3C7EF91B129F5265355FEA953DAB35F3E0F4B058414D955F40CC26C1D32A4rA32E" TargetMode="External"/><Relationship Id="rId14" Type="http://schemas.openxmlformats.org/officeDocument/2006/relationships/hyperlink" Target="consultantplus://offline/ref=05F97EC6295A19A66B79F784361220FB9E580A0248904BC10FB3C7EF91B129F5265355FEA952DCB5503E0F4B058414D955F40CC26C1D32A4rA32E" TargetMode="External"/><Relationship Id="rId15" Type="http://schemas.openxmlformats.org/officeDocument/2006/relationships/hyperlink" Target="consultantplus://offline/ref=05F97EC6295A19A66B79F784361220FB9E580A0248904BC10FB3C7EF91B129F5265355FEA952DCBB5E3E0F4B058414D955F40CC26C1D32A4rA32E" TargetMode="External"/><Relationship Id="rId16" Type="http://schemas.openxmlformats.org/officeDocument/2006/relationships/hyperlink" Target="consultantplus://offline/ref=05F97EC6295A19A66B79F784361220FB9E580A0248904BC10FB3C7EF91B129F5265355FDA95BD7B90D641F4F4CD01EC652EE12C4721Dr332E" TargetMode="External"/><Relationship Id="rId17" Type="http://schemas.openxmlformats.org/officeDocument/2006/relationships/fontTable" Target="fontTable.xml"/><Relationship Id="rId18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LibreOffice/6.2.5.2$Windows_X86_64 LibreOffice_project/1ec314fa52f458adc18c4f025c545a4e8b22c159</Application>
  <Pages>4</Pages>
  <Words>1854</Words>
  <Characters>13647</Characters>
  <CharactersWithSpaces>15404</CharactersWithSpaces>
  <Paragraphs>97</Paragraphs>
  <Company>КонсультантПлюс Версия 4019.00.23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2020-04-17T09:55:00Z</dcterms:created>
  <dc:creator/>
  <dc:description/>
  <dc:language>ru-RU</dc:language>
  <cp:lastModifiedBy/>
  <dcterms:modified xsi:type="dcterms:W3CDTF">2020-04-17T09:56:15Z</dcterms:modified>
  <cp:revision>1</cp:revision>
  <dc:subject/>
  <dc:title>Постановление Администрации города Челябинска от 03.10.2019 N 467-п"Об утверждении Положения о составе, порядке подготовки Генерального плана города Челябинска, порядке подготовки изменений и внесения их в Генеральный план города Челябинска"(вместе с "Положением о составе, порядке подготовки Генерального плана города Челябинска, порядке подготовки изменений и внесения их в Генеральный план города Челябинска")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КонсультантПлюс Версия 4019.00.23</vt:lpwstr>
  </property>
</Properties>
</file>